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</w:p>
    <w:p>
      <w:pPr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jc w:val="center"/>
        <w:rPr>
          <w:rFonts w:hint="eastAsia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eastAsia="方正小标宋简体"/>
          <w:color w:val="000000"/>
          <w:sz w:val="44"/>
          <w:szCs w:val="44"/>
        </w:rPr>
        <w:t>衡阳县第十八届人民代表大会常务委员会</w:t>
      </w:r>
    </w:p>
    <w:p>
      <w:pPr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公    告</w:t>
      </w:r>
    </w:p>
    <w:bookmarkEnd w:id="0"/>
    <w:p>
      <w:pPr>
        <w:jc w:val="center"/>
        <w:rPr>
          <w:rFonts w:hint="eastAsia" w:eastAsia="方正小标宋简体"/>
          <w:color w:val="000000"/>
          <w:sz w:val="44"/>
          <w:szCs w:val="44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eastAsia="方正小标宋简体"/>
          <w:color w:val="000000"/>
          <w:sz w:val="44"/>
          <w:szCs w:val="44"/>
        </w:rPr>
        <w:t>（第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eastAsia="方正小标宋简体"/>
          <w:color w:val="000000"/>
          <w:sz w:val="44"/>
          <w:szCs w:val="44"/>
        </w:rPr>
        <w:t>号）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hint="eastAsia" w:eastAsia="仿宋_GB2312"/>
          <w:sz w:val="32"/>
          <w:szCs w:val="32"/>
        </w:rPr>
        <w:t>年12月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日衡阳县第十八届人民代表大会常务委员会第</w:t>
      </w:r>
      <w:r>
        <w:rPr>
          <w:rFonts w:hint="eastAsia" w:eastAsia="仿宋_GB2312"/>
          <w:sz w:val="32"/>
          <w:szCs w:val="32"/>
          <w:lang w:eastAsia="zh-CN"/>
        </w:rPr>
        <w:t>十八</w:t>
      </w:r>
      <w:r>
        <w:rPr>
          <w:rFonts w:hint="eastAsia" w:eastAsia="仿宋_GB2312"/>
          <w:sz w:val="32"/>
          <w:szCs w:val="32"/>
        </w:rPr>
        <w:t>次会议听取和审议了衡阳县人民政府关于</w:t>
      </w:r>
      <w:r>
        <w:rPr>
          <w:rFonts w:hint="eastAsia" w:eastAsia="仿宋_GB2312"/>
          <w:sz w:val="32"/>
          <w:szCs w:val="32"/>
          <w:lang w:val="en-US" w:eastAsia="zh-CN"/>
        </w:rPr>
        <w:t>2023年度</w:t>
      </w:r>
      <w:r>
        <w:rPr>
          <w:rFonts w:hint="eastAsia" w:eastAsia="仿宋_GB2312"/>
          <w:sz w:val="32"/>
          <w:szCs w:val="32"/>
          <w:lang w:eastAsia="zh-CN"/>
        </w:rPr>
        <w:t>民生实事项目实施情况</w:t>
      </w:r>
      <w:r>
        <w:rPr>
          <w:rFonts w:hint="eastAsia" w:eastAsia="仿宋_GB2312"/>
          <w:sz w:val="32"/>
          <w:szCs w:val="32"/>
        </w:rPr>
        <w:t>的报告，并开展了满意度测评。现将测评结果公布如下：</w:t>
      </w:r>
    </w:p>
    <w:p>
      <w:pPr>
        <w:pStyle w:val="2"/>
      </w:pPr>
    </w:p>
    <w:tbl>
      <w:tblPr>
        <w:tblStyle w:val="4"/>
        <w:tblW w:w="8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1"/>
        <w:gridCol w:w="1012"/>
        <w:gridCol w:w="1012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tblHeader/>
          <w:jc w:val="center"/>
        </w:trPr>
        <w:tc>
          <w:tcPr>
            <w:tcW w:w="50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票决项目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满意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基本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满意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07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开展职业培训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hint="eastAsia" w:eastAsia="仿宋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07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老年人服务保障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改造城镇老旧小区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樟板中学建设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"/>
                <w:sz w:val="32"/>
                <w:szCs w:val="32"/>
                <w:lang w:val="en-US" w:eastAsia="zh-CN"/>
              </w:rPr>
            </w:pPr>
            <w:r>
              <w:rPr>
                <w:rFonts w:hint="default" w:eastAsia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0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  <w:t>县道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X054、X036线路面提质改造工程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3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numberInDash" w:start="1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C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197</Characters>
  <Paragraphs>40</Paragraphs>
  <TotalTime>26</TotalTime>
  <ScaleCrop>false</ScaleCrop>
  <LinksUpToDate>false</LinksUpToDate>
  <CharactersWithSpaces>201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2023-12-06T07:17:00Z</dcterms:created>
  <dc:creator>one day</dc:creator>
  <cp:lastModifiedBy>WPS_1678009416</cp:lastModifiedBy>
  <cp:lastPrinted>2023-12-06T07:20:00Z</cp:lastPrinted>
  <dcterms:modified xsi:type="dcterms:W3CDTF">2023-12-06T09:37:26Z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715C006502C342ACBFD49D9F563A04E1_13</vt:lpwstr>
  </property>
</Properties>
</file>