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</w:p>
    <w:p>
      <w:pPr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衡阳县第十八届人民代表大会常务委员会</w:t>
      </w:r>
    </w:p>
    <w:p>
      <w:pPr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公    告</w:t>
      </w:r>
    </w:p>
    <w:p>
      <w:pPr>
        <w:jc w:val="center"/>
        <w:rPr>
          <w:rFonts w:hint="eastAsia" w:eastAsia="方正小标宋简体"/>
          <w:color w:val="000000"/>
          <w:sz w:val="44"/>
          <w:szCs w:val="44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方正小标宋简体"/>
          <w:color w:val="000000"/>
          <w:sz w:val="44"/>
          <w:szCs w:val="44"/>
        </w:rPr>
        <w:t>（第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color w:val="000000"/>
          <w:sz w:val="44"/>
          <w:szCs w:val="44"/>
        </w:rPr>
        <w:t>号）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年12月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日衡阳县第十八届人民代表大会常务委员会第</w:t>
      </w:r>
      <w:r>
        <w:rPr>
          <w:rFonts w:hint="eastAsia" w:eastAsia="仿宋_GB2312"/>
          <w:sz w:val="32"/>
          <w:szCs w:val="32"/>
          <w:lang w:eastAsia="zh-CN"/>
        </w:rPr>
        <w:t>十八</w:t>
      </w:r>
      <w:r>
        <w:rPr>
          <w:rFonts w:hint="eastAsia" w:eastAsia="仿宋_GB2312"/>
          <w:sz w:val="32"/>
          <w:szCs w:val="32"/>
        </w:rPr>
        <w:t>次会议听取和审议了衡阳县人民政府关于县十八届人大</w:t>
      </w:r>
      <w:r>
        <w:rPr>
          <w:rFonts w:hint="eastAsia" w:eastAsia="仿宋_GB2312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次会议代表议案、建议办理情况的报告，并开展了满意度测评。现将测评结果公布如下：</w:t>
      </w:r>
    </w:p>
    <w:p>
      <w:pPr>
        <w:pStyle w:val="2"/>
      </w:pPr>
    </w:p>
    <w:tbl>
      <w:tblPr>
        <w:tblStyle w:val="9"/>
        <w:tblW w:w="8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1"/>
        <w:gridCol w:w="1012"/>
        <w:gridCol w:w="1012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tblHeader/>
          <w:jc w:val="center"/>
        </w:trPr>
        <w:tc>
          <w:tcPr>
            <w:tcW w:w="5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黑体"/>
                <w:sz w:val="28"/>
                <w:szCs w:val="28"/>
              </w:rPr>
            </w:pPr>
            <w:r>
              <w:rPr>
                <w:rFonts w:hint="default" w:eastAsia="黑体"/>
                <w:sz w:val="28"/>
                <w:szCs w:val="28"/>
              </w:rPr>
              <w:t>办理单位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满意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满意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7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县人民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政府办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公室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7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农业农村局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交通运输局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</w:rPr>
              <w:t>2</w:t>
            </w: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水利局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教育局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县文化旅游广电体育局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县卫生健康局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民政局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县城市管理和综合执法局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公路建设养护中心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自然资源局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交警大队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县科技和工业信息化局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住房和城乡建设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14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县发展和改革局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4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国网供电衡阳县分公司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财政局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县林业局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人民法院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县医疗保障局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县城市和农村建设投资有限公司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衡阳西渡高新技术产业园区管理委员会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商务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公安局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县机关事务和接待中心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人力资源和社会保障局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人民检察院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乡村振兴局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县信访局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</w:tr>
    </w:tbl>
    <w:p/>
    <w:tbl>
      <w:tblPr>
        <w:tblStyle w:val="9"/>
        <w:tblW w:w="8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1"/>
        <w:gridCol w:w="1012"/>
        <w:gridCol w:w="1012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tblHeader/>
          <w:jc w:val="center"/>
        </w:trPr>
        <w:tc>
          <w:tcPr>
            <w:tcW w:w="5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黑体"/>
                <w:sz w:val="28"/>
                <w:szCs w:val="28"/>
              </w:rPr>
            </w:pPr>
            <w:r>
              <w:rPr>
                <w:rFonts w:hint="default" w:eastAsia="黑体"/>
                <w:sz w:val="28"/>
                <w:szCs w:val="28"/>
              </w:rPr>
              <w:t>办理单位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满意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满意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7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烟草公司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7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行政审批服务局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5</w:t>
            </w:r>
          </w:p>
        </w:tc>
      </w:tr>
    </w:tbl>
    <w:p>
      <w:pPr>
        <w:pStyle w:val="2"/>
      </w:pPr>
    </w:p>
    <w:sectPr>
      <w:pgSz w:w="11906" w:h="16838"/>
      <w:pgMar w:top="2098" w:right="1474" w:bottom="1984" w:left="1587" w:header="851" w:footer="992" w:gutter="0"/>
      <w:pgNumType w:fmt="numberInDash"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MzVjNjkzMzdhN2YyZDc2OTYwM2VhYzM5NzAwNTkifQ=="/>
  </w:docVars>
  <w:rsids>
    <w:rsidRoot w:val="55DF458B"/>
    <w:rsid w:val="00623652"/>
    <w:rsid w:val="00A97CDE"/>
    <w:rsid w:val="00E63FBE"/>
    <w:rsid w:val="07DE37CB"/>
    <w:rsid w:val="0AF97B2E"/>
    <w:rsid w:val="17094A74"/>
    <w:rsid w:val="19EF0025"/>
    <w:rsid w:val="55DF458B"/>
    <w:rsid w:val="57E809C6"/>
    <w:rsid w:val="5DCC573D"/>
    <w:rsid w:val="6EFBD181"/>
    <w:rsid w:val="764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00" w:lineRule="exact"/>
      <w:outlineLvl w:val="0"/>
    </w:pPr>
    <w:rPr>
      <w:rFonts w:eastAsia="方正小标宋简体" w:asciiTheme="minorHAnsi" w:hAnsiTheme="minorHAns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ind w:firstLine="880" w:firstLineChars="200"/>
      <w:outlineLvl w:val="2"/>
    </w:pPr>
    <w:rPr>
      <w:rFonts w:eastAsia="楷体" w:asciiTheme="minorHAnsi" w:hAnsiTheme="minorHAnsi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方正小标宋简体" w:asciiTheme="minorHAnsi" w:hAnsiTheme="minorHAnsi"/>
      <w:b/>
      <w:kern w:val="44"/>
      <w:sz w:val="44"/>
    </w:rPr>
  </w:style>
  <w:style w:type="paragraph" w:customStyle="1" w:styleId="13">
    <w:name w:val="样式2"/>
    <w:basedOn w:val="1"/>
    <w:next w:val="1"/>
    <w:qFormat/>
    <w:uiPriority w:val="0"/>
    <w:pPr>
      <w:keepNext/>
      <w:keepLines/>
      <w:spacing w:line="700" w:lineRule="exact"/>
      <w:outlineLvl w:val="0"/>
    </w:pPr>
    <w:rPr>
      <w:rFonts w:eastAsia="方正小标宋简体" w:asciiTheme="minorHAnsi" w:hAnsiTheme="minorHAnsi"/>
      <w:b/>
      <w:kern w:val="44"/>
      <w:sz w:val="44"/>
    </w:rPr>
  </w:style>
  <w:style w:type="character" w:customStyle="1" w:styleId="14">
    <w:name w:val="页眉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652</Characters>
  <Lines>5</Lines>
  <Paragraphs>1</Paragraphs>
  <TotalTime>12</TotalTime>
  <ScaleCrop>false</ScaleCrop>
  <LinksUpToDate>false</LinksUpToDate>
  <CharactersWithSpaces>765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2022-12-13T12:12:00Z</dcterms:created>
  <dc:creator>a中心快印</dc:creator>
  <cp:lastModifiedBy>one  day</cp:lastModifiedBy>
  <cp:lastPrinted>2023-12-06T07:15:30Z</cp:lastPrinted>
  <dcterms:modified xsi:type="dcterms:W3CDTF">2023-12-06T07:17:09Z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A60B501659834C68999C4681ABEB09B9_13</vt:lpwstr>
  </property>
</Properties>
</file>